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w:t>
        </w:r>
        <w:r w:rsidRPr="004B5035">
          <w:rPr>
            <w:rStyle w:val="Hipervnculo"/>
            <w:noProof/>
          </w:rPr>
          <w:t>e</w:t>
        </w:r>
        <w:r w:rsidRPr="004B5035">
          <w:rPr>
            <w:rStyle w:val="Hipervnculo"/>
            <w:noProof/>
          </w:rPr>
          <w:t>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893"/>
        <w:gridCol w:w="5187"/>
        <w:gridCol w:w="183"/>
        <w:gridCol w:w="108"/>
        <w:gridCol w:w="4085"/>
      </w:tblGrid>
      <w:tr w:rsidR="00A17AE4" w14:paraId="33816968" w14:textId="77777777" w:rsidTr="00E67A04">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E67A04">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00E67A04">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13776391" w:rsidR="00093CA9" w:rsidRDefault="005B4672" w:rsidP="00093CA9">
            <w:r>
              <w:rPr>
                <w:lang w:val="it-IT"/>
              </w:rPr>
              <w:t>Beccar Varela</w:t>
            </w:r>
            <w:r w:rsidR="00960D32" w:rsidRPr="00960D32">
              <w:t> </w:t>
            </w:r>
          </w:p>
        </w:tc>
      </w:tr>
      <w:tr w:rsidR="00093CA9" w14:paraId="68D6C829" w14:textId="77777777" w:rsidTr="00E67A04">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E67A04">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4EEBEEAC" w:rsidR="00093CA9" w:rsidRDefault="005B4672" w:rsidP="00093CA9">
            <w:r>
              <w:t>Argentina</w:t>
            </w:r>
          </w:p>
        </w:tc>
      </w:tr>
      <w:tr w:rsidR="00093CA9" w:rsidRPr="00E50B13" w14:paraId="55091B20" w14:textId="77777777" w:rsidTr="00E67A04">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00E67A04">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084B9D2" w:rsidR="00093CA9" w:rsidRPr="00960D32" w:rsidRDefault="00975CCA" w:rsidP="002C22F1">
            <w:pPr>
              <w:spacing w:before="0" w:after="0"/>
              <w:rPr>
                <w:rFonts w:cstheme="minorHAnsi"/>
                <w:color w:val="333333"/>
              </w:rPr>
            </w:pPr>
            <w:r w:rsidRPr="00975CCA">
              <w:rPr>
                <w:rFonts w:cstheme="minorHAnsi"/>
                <w:color w:val="333333"/>
              </w:rPr>
              <w:t>Resolution 146/2023 - National Plan for Climate Change Adaptation and Mitigation (</w:t>
            </w:r>
            <w:proofErr w:type="spellStart"/>
            <w:r w:rsidRPr="00975CCA">
              <w:rPr>
                <w:rFonts w:cstheme="minorHAnsi"/>
                <w:color w:val="333333"/>
              </w:rPr>
              <w:t>Resolución</w:t>
            </w:r>
            <w:proofErr w:type="spellEnd"/>
            <w:r w:rsidRPr="00975CCA">
              <w:rPr>
                <w:rFonts w:cstheme="minorHAnsi"/>
                <w:color w:val="333333"/>
              </w:rPr>
              <w:t xml:space="preserve"> 146/2023 - Plan Nacional de </w:t>
            </w:r>
            <w:proofErr w:type="spellStart"/>
            <w:r w:rsidRPr="00975CCA">
              <w:rPr>
                <w:rFonts w:cstheme="minorHAnsi"/>
                <w:color w:val="333333"/>
              </w:rPr>
              <w:t>Adaptación</w:t>
            </w:r>
            <w:proofErr w:type="spellEnd"/>
            <w:r w:rsidRPr="00975CCA">
              <w:rPr>
                <w:rFonts w:cstheme="minorHAnsi"/>
                <w:color w:val="333333"/>
              </w:rPr>
              <w:t xml:space="preserve"> y </w:t>
            </w:r>
            <w:proofErr w:type="spellStart"/>
            <w:r w:rsidRPr="00975CCA">
              <w:rPr>
                <w:rFonts w:cstheme="minorHAnsi"/>
                <w:color w:val="333333"/>
              </w:rPr>
              <w:t>Mitigación</w:t>
            </w:r>
            <w:proofErr w:type="spellEnd"/>
            <w:r w:rsidRPr="00975CCA">
              <w:rPr>
                <w:rFonts w:cstheme="minorHAnsi"/>
                <w:color w:val="333333"/>
              </w:rPr>
              <w:t xml:space="preserve"> al Cambio </w:t>
            </w:r>
            <w:proofErr w:type="spellStart"/>
            <w:r w:rsidRPr="00975CCA">
              <w:rPr>
                <w:rFonts w:cstheme="minorHAnsi"/>
                <w:color w:val="333333"/>
              </w:rPr>
              <w:t>Climático</w:t>
            </w:r>
            <w:proofErr w:type="spellEnd"/>
            <w:r w:rsidRPr="00975CCA">
              <w:rPr>
                <w:rFonts w:cstheme="minorHAnsi"/>
                <w:color w:val="333333"/>
              </w:rPr>
              <w:t>)</w:t>
            </w:r>
          </w:p>
        </w:tc>
      </w:tr>
      <w:tr w:rsidR="00093CA9" w14:paraId="67500B24" w14:textId="77777777" w:rsidTr="00E67A04">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E67A04">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2CA5CA29" w:rsidR="00093CA9" w:rsidRDefault="00587D18" w:rsidP="00093CA9">
            <w:hyperlink r:id="rId17" w:history="1">
              <w:r w:rsidRPr="0015648B">
                <w:rPr>
                  <w:rStyle w:val="Hipervnculo"/>
                </w:rPr>
                <w:t>https://web.archive.org/web/20250701174606/https://www.argentina.gob.ar/normativa/nacional/resolución-146-2023-382506/texto</w:t>
              </w:r>
            </w:hyperlink>
            <w:r>
              <w:t xml:space="preserve"> </w:t>
            </w:r>
          </w:p>
        </w:tc>
      </w:tr>
      <w:tr w:rsidR="00093CA9" w:rsidRPr="005A2023" w14:paraId="1EA0B43C" w14:textId="77777777" w:rsidTr="00E67A04">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E67A04">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DA7FE74" w:rsidR="00093CA9" w:rsidRDefault="00093CA9" w:rsidP="00093CA9"/>
        </w:tc>
      </w:tr>
      <w:tr w:rsidR="00093CA9" w14:paraId="401C58A8" w14:textId="77777777" w:rsidTr="00E67A04">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426048AF" w:rsidR="00093CA9" w:rsidRDefault="00093CA9" w:rsidP="00093CA9"/>
        </w:tc>
      </w:tr>
      <w:tr w:rsidR="00093CA9" w14:paraId="2CE0B955" w14:textId="77777777" w:rsidTr="00E67A04">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00E67A04">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00E67A04">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ED969AE" w:rsidR="00093CA9" w:rsidRDefault="00093CA9" w:rsidP="00093CA9"/>
        </w:tc>
      </w:tr>
      <w:tr w:rsidR="00093CA9" w14:paraId="4C779C87" w14:textId="77777777" w:rsidTr="00E67A04">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5B8217C" w:rsidR="00093CA9" w:rsidRDefault="00975CCA" w:rsidP="00093CA9">
            <w:r>
              <w:t>X</w:t>
            </w:r>
          </w:p>
        </w:tc>
      </w:tr>
      <w:tr w:rsidR="00093CA9" w14:paraId="73270E71" w14:textId="77777777" w:rsidTr="00E67A04">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1ACD74F3" w14:textId="320C4EF5" w:rsidR="00093CA9" w:rsidRDefault="00093CA9" w:rsidP="00093CA9">
            <w:r>
              <w:t xml:space="preserve">Briefly describe the </w:t>
            </w:r>
            <w:r w:rsidRPr="008C07E1">
              <w:rPr>
                <w:rFonts w:eastAsia="Times New Roman" w:cstheme="minorHAnsi"/>
                <w:b/>
                <w:color w:val="7030A0"/>
                <w:kern w:val="0"/>
                <w:lang w:val="en-SG" w:eastAsia="en-GB"/>
                <w14:ligatures w14:val="none"/>
              </w:rPr>
              <w:t xml:space="preserve">policy </w:t>
            </w:r>
            <w:proofErr w:type="gramStart"/>
            <w:r w:rsidR="00FE081A" w:rsidRPr="008C07E1">
              <w:rPr>
                <w:rFonts w:eastAsia="Times New Roman" w:cstheme="minorHAnsi"/>
                <w:b/>
                <w:bCs/>
                <w:color w:val="7030A0"/>
                <w:kern w:val="0"/>
                <w:lang w:val="en-SG" w:eastAsia="en-GB"/>
                <w14:ligatures w14:val="none"/>
              </w:rPr>
              <w:t>tool</w:t>
            </w:r>
            <w:r w:rsidR="00FE081A" w:rsidRPr="00FE081A">
              <w:rPr>
                <w:rFonts w:eastAsia="Times New Roman" w:cstheme="minorHAnsi"/>
                <w:color w:val="000000" w:themeColor="text1"/>
                <w:kern w:val="0"/>
                <w:lang w:val="en-SG" w:eastAsia="en-GB"/>
                <w14:ligatures w14:val="none"/>
              </w:rPr>
              <w:t>‘</w:t>
            </w:r>
            <w:proofErr w:type="gramEnd"/>
            <w:r w:rsidR="00FE081A" w:rsidRPr="00FE081A">
              <w:rPr>
                <w:rFonts w:eastAsia="Times New Roman" w:cstheme="minorHAnsi"/>
                <w:color w:val="000000" w:themeColor="text1"/>
                <w:kern w:val="0"/>
                <w:lang w:val="en-SG" w:eastAsia="en-GB"/>
                <w14:ligatures w14:val="none"/>
              </w:rPr>
              <w:t>s</w:t>
            </w:r>
            <w:r w:rsidRPr="00FE081A">
              <w:rPr>
                <w:rFonts w:eastAsia="Times New Roman" w:cstheme="minorHAnsi"/>
                <w:color w:val="000000" w:themeColor="text1"/>
                <w:kern w:val="0"/>
                <w:lang w:val="en-SG" w:eastAsia="en-GB"/>
                <w14:ligatures w14:val="none"/>
              </w:rPr>
              <w:t xml:space="preserve"> </w:t>
            </w:r>
            <w:r w:rsidRPr="00FE081A">
              <w:rPr>
                <w:color w:val="000000" w:themeColor="text1"/>
              </w:rPr>
              <w:t xml:space="preserve">goal </w:t>
            </w:r>
            <w:r>
              <w:t xml:space="preserve">and/or purpose. Specifically, describe the relevance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proofErr w:type="gramStart"/>
            <w:r>
              <w:t>with regard to</w:t>
            </w:r>
            <w:proofErr w:type="gramEnd"/>
            <w:r>
              <w:t xml:space="preserve"> the selected domain(s) in question 5.</w:t>
            </w:r>
          </w:p>
          <w:p w14:paraId="570C4CB1" w14:textId="77777777" w:rsidR="00093CA9" w:rsidRDefault="00093CA9" w:rsidP="00093CA9"/>
          <w:p w14:paraId="0DE707E8" w14:textId="77777777" w:rsidR="00093CA9" w:rsidRDefault="00093CA9" w:rsidP="00093CA9">
            <w:pPr>
              <w:rPr>
                <w:rStyle w:val="normaltextrun"/>
                <w:rFonts w:ascii="Mulish" w:hAnsi="Mulish"/>
                <w:i/>
                <w:iCs/>
                <w:color w:val="000000" w:themeColor="text1"/>
                <w:sz w:val="22"/>
                <w:szCs w:val="22"/>
              </w:rPr>
            </w:pPr>
            <w:r w:rsidRPr="006A103A">
              <w:rPr>
                <w:i/>
                <w:iCs/>
                <w:sz w:val="22"/>
                <w:szCs w:val="22"/>
              </w:rPr>
              <w:t>For example:</w:t>
            </w:r>
            <w:r w:rsidRPr="006A103A">
              <w:rPr>
                <w:sz w:val="22"/>
                <w:szCs w:val="22"/>
              </w:rPr>
              <w:t xml:space="preserve"> </w:t>
            </w:r>
            <w:r w:rsidRPr="006A103A">
              <w:rPr>
                <w:i/>
                <w:iCs/>
                <w:sz w:val="22"/>
                <w:szCs w:val="22"/>
              </w:rPr>
              <w:t xml:space="preserve">The policy tool requires publicly listed companies to comply with the recommendations of the Taskforce for Climate Related Financial </w:t>
            </w:r>
            <w:r w:rsidRPr="00BB3989">
              <w:rPr>
                <w:b/>
                <w:i/>
                <w:color w:val="7030A0"/>
                <w:sz w:val="22"/>
                <w:szCs w:val="22"/>
              </w:rPr>
              <w:t>Disclosure</w:t>
            </w:r>
            <w:r w:rsidRPr="006A103A">
              <w:rPr>
                <w:i/>
                <w:iCs/>
                <w:sz w:val="22"/>
                <w:szCs w:val="22"/>
              </w:rPr>
              <w:t xml:space="preserve"> or to explain the absence of such </w:t>
            </w:r>
            <w:r w:rsidRPr="00BB3989">
              <w:rPr>
                <w:b/>
                <w:i/>
                <w:color w:val="7030A0"/>
                <w:sz w:val="22"/>
                <w:szCs w:val="22"/>
              </w:rPr>
              <w:t>disclosures</w:t>
            </w:r>
            <w:r w:rsidRPr="006A103A">
              <w:rPr>
                <w:i/>
                <w:iCs/>
                <w:sz w:val="22"/>
                <w:szCs w:val="22"/>
              </w:rPr>
              <w:t>.</w:t>
            </w:r>
          </w:p>
        </w:tc>
      </w:tr>
      <w:tr w:rsidR="00093CA9" w14:paraId="707EB905" w14:textId="77777777" w:rsidTr="00E67A04">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2AE0F918" w14:textId="090915E5" w:rsidR="008409F3" w:rsidRDefault="008409F3" w:rsidP="008409F3">
            <w:r>
              <w:t>The National Plan for Climate Change Adaptation and Mitigation (</w:t>
            </w:r>
            <w:proofErr w:type="spellStart"/>
            <w:r>
              <w:t>PNAyMCC</w:t>
            </w:r>
            <w:proofErr w:type="spellEnd"/>
            <w:r>
              <w:t xml:space="preserve">) aims to establish a coordinated framework of public policies to address climate change through adaptation, mitigation, and loss and damage management. Its primary goal is to </w:t>
            </w:r>
            <w:proofErr w:type="spellStart"/>
            <w:r>
              <w:t>fulfill</w:t>
            </w:r>
            <w:proofErr w:type="spellEnd"/>
            <w:r>
              <w:t xml:space="preserve"> the mandates of National Law No. 27520 and contribute to Argentina’s commitments under the Paris Agreement, including its updated Nationally Determined Contribution (NDC).</w:t>
            </w:r>
          </w:p>
          <w:p w14:paraId="18257824" w14:textId="13C0CA57" w:rsidR="00093CA9" w:rsidRDefault="008409F3" w:rsidP="008409F3">
            <w:proofErr w:type="gramStart"/>
            <w:r>
              <w:t>With regard to</w:t>
            </w:r>
            <w:proofErr w:type="gramEnd"/>
            <w:r>
              <w:t xml:space="preserve"> methane abatement, the policy tool outlines mitigation measures targeting key methane-emitting sectors such as fossil fuel extraction, agriculture, and waste management. It includes emissions inventories (INGEI), sectoral assessments, and action plans designed to reduce greenhouse gas emissions, including methane (CH₄). The tool also promotes sustainable livestock practices, improvements in waste treatment, and the implementation of climate-resilient technologies to curb methane emissions from both fossil fuels and agricultural sources.</w:t>
            </w:r>
          </w:p>
        </w:tc>
      </w:tr>
      <w:tr w:rsidR="00093CA9" w14:paraId="2451E529" w14:textId="77777777" w:rsidTr="00E67A04">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0E67A04">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C02AB15" w:rsidR="00093CA9" w:rsidRDefault="00A92ACB" w:rsidP="00093CA9">
            <w:r>
              <w:t>X</w:t>
            </w:r>
          </w:p>
        </w:tc>
      </w:tr>
      <w:tr w:rsidR="00093CA9" w14:paraId="3640F334" w14:textId="77777777" w:rsidTr="00E67A04">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00E67A04">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00E67A04">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00E67A04">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00E67A04">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00E67A04">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0E67A04">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3E02D74B" w:rsidR="00093CA9" w:rsidRDefault="00AD6CE7" w:rsidP="00093CA9">
            <w:r>
              <w:t xml:space="preserve">The </w:t>
            </w:r>
            <w:r>
              <w:t>policy tool</w:t>
            </w:r>
            <w:r>
              <w:t xml:space="preserve"> is currently in force; however, its implementation is progressive. The policy tool itself outlines the implementation status of each measure, with some actions already underway and others planned for future execution.</w:t>
            </w:r>
          </w:p>
        </w:tc>
      </w:tr>
      <w:tr w:rsidR="00093CA9" w14:paraId="5FF08B4A" w14:textId="77777777" w:rsidTr="00E67A04">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0E67A04">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573D95CA" w:rsidR="00093CA9" w:rsidRPr="00173D7C" w:rsidRDefault="00AD6CE7" w:rsidP="00093CA9">
            <w:pPr>
              <w:rPr>
                <w:color w:val="000000" w:themeColor="text1"/>
              </w:rPr>
            </w:pPr>
            <w:r>
              <w:rPr>
                <w:color w:val="000000" w:themeColor="text1"/>
              </w:rPr>
              <w:t>2023</w:t>
            </w:r>
          </w:p>
        </w:tc>
      </w:tr>
      <w:tr w:rsidR="00093CA9" w14:paraId="738B7301" w14:textId="77777777" w:rsidTr="00E67A04">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0E67A04">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5BA10C50" w:rsidR="00093CA9" w:rsidRPr="00173D7C" w:rsidRDefault="00AD6CE7" w:rsidP="00093CA9">
            <w:pPr>
              <w:rPr>
                <w:color w:val="000000" w:themeColor="text1"/>
              </w:rPr>
            </w:pPr>
            <w:r>
              <w:rPr>
                <w:color w:val="000000" w:themeColor="text1"/>
              </w:rPr>
              <w:t>2023</w:t>
            </w:r>
          </w:p>
        </w:tc>
      </w:tr>
      <w:tr w:rsidR="00093CA9" w14:paraId="2C2614F8" w14:textId="77777777" w:rsidTr="00E67A04">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lastRenderedPageBreak/>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0E67A04">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00E67A04">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0E67A04">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00E67A04">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00E67A04">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2986C7CE" w:rsidR="00093CA9" w:rsidRDefault="00AD6CE7" w:rsidP="00093CA9">
            <w:r>
              <w:t>Former Nation Ministry of Environment and Sustainable Development (actual National Undersecretariat of Environment)</w:t>
            </w:r>
          </w:p>
        </w:tc>
      </w:tr>
      <w:tr w:rsidR="00093CA9" w:rsidRPr="006B7B0D" w14:paraId="5375EB04" w14:textId="77777777" w:rsidTr="00E67A04">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00E67A04">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05B4095C" w:rsidR="00093CA9" w:rsidRPr="006B7B0D" w:rsidRDefault="00AD6CE7" w:rsidP="00093CA9">
            <w:r>
              <w:t>National Undersecretariat of Environment</w:t>
            </w:r>
          </w:p>
        </w:tc>
      </w:tr>
      <w:tr w:rsidR="00093CA9" w:rsidRPr="006B7B0D" w14:paraId="2F387FFB" w14:textId="77777777" w:rsidTr="00E67A04">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0E67A04">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00E67A04">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00E67A04">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66D7C02C" w:rsidR="00093CA9" w:rsidRPr="006B7B0D" w:rsidRDefault="00AD6CE7" w:rsidP="00093CA9">
            <w:r>
              <w:t>X</w:t>
            </w:r>
          </w:p>
        </w:tc>
      </w:tr>
      <w:tr w:rsidR="00093CA9" w:rsidRPr="006B7B0D" w14:paraId="68784F43" w14:textId="77777777" w:rsidTr="00E67A04">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00E67A04">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00E67A04">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00E67A04">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00E67A04">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00E67A04">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00E67A04">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00E67A04">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00E67A04">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00E67A04">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00E67A04">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00E67A04">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00E67A04">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00E67A04">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00E67A04">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00E67A04">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00E67A04">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00E67A04">
        <w:trPr>
          <w:trHeight w:val="63"/>
        </w:trPr>
        <w:tc>
          <w:tcPr>
            <w:tcW w:w="1063" w:type="dxa"/>
            <w:vAlign w:val="center"/>
          </w:tcPr>
          <w:p w14:paraId="41DFFA8E"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00E67A04">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00E67A04">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00E67A04">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00E67A04">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00E67A04">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00E67A04">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00E67A04">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00E67A04">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00E67A04">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00E67A04">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00E67A04">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00E67A04">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00E67A04">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12044F7B" w:rsidR="00093CA9" w:rsidRDefault="0041490F" w:rsidP="00093CA9">
            <w:r>
              <w:t xml:space="preserve">The authority responsible for </w:t>
            </w:r>
            <w:r>
              <w:t>implementation (National Undersecretariat of Environment)</w:t>
            </w:r>
            <w:r>
              <w:t xml:space="preserve"> has a moderate enforcement capacity. However, the successful execution of the plan requires coordination and active involvement from multiple actors across the state structure</w:t>
            </w:r>
            <w:r w:rsidR="006251E2">
              <w:t xml:space="preserve"> as well as the private sector</w:t>
            </w:r>
            <w:r>
              <w:t>, including various national agencies and provincial authorities. Due to the breadth of stakeholders involved, it is not feasible to list all of them individually.</w:t>
            </w:r>
          </w:p>
        </w:tc>
      </w:tr>
      <w:tr w:rsidR="00093CA9" w14:paraId="7C1E73C1" w14:textId="77777777" w:rsidTr="00E67A04">
        <w:trPr>
          <w:trHeight w:val="800"/>
        </w:trPr>
        <w:tc>
          <w:tcPr>
            <w:tcW w:w="1063" w:type="dxa"/>
            <w:vAlign w:val="center"/>
          </w:tcPr>
          <w:p w14:paraId="103AFAD8"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00E67A04">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00E67A04">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4A69D948" w:rsidR="00093CA9" w:rsidRDefault="006251E2" w:rsidP="00093CA9">
            <w:r>
              <w:t>X</w:t>
            </w:r>
          </w:p>
        </w:tc>
      </w:tr>
      <w:tr w:rsidR="00093CA9" w14:paraId="0763562F" w14:textId="77777777" w:rsidTr="00E67A04">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0E67A04">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3DAFE92C" w:rsidR="00093CA9" w:rsidRPr="008017F9" w:rsidRDefault="006251E2" w:rsidP="00093CA9">
            <w:pPr>
              <w:keepNext/>
              <w:rPr>
                <w:color w:val="000000" w:themeColor="text1"/>
              </w:rPr>
            </w:pPr>
            <w:r>
              <w:t>The policy tool includes a national monitoring system designed to track the implementation of both adaptation and mitigation measures. It establishes a unified framework for Monitoring and Evaluation (M&amp;E) and Monitoring, Reporting, and Verification (MRV), depending on the component. The system involves periodic reporting and the development of indicators to assess progress.</w:t>
            </w: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0DE82B" w:rsidR="002F0752" w:rsidRPr="00CF2E7C" w:rsidRDefault="002F0752" w:rsidP="00CF2E7C">
            <w:pPr>
              <w:rPr>
                <w:rFonts w:ascii="Calibri" w:hAnsi="Calibri" w:cs="Calibri"/>
              </w:rPr>
            </w:pPr>
          </w:p>
        </w:tc>
        <w:tc>
          <w:tcPr>
            <w:tcW w:w="1482" w:type="dxa"/>
            <w:vAlign w:val="center"/>
          </w:tcPr>
          <w:p w14:paraId="137010FB" w14:textId="1E610FAF" w:rsidR="002F0752" w:rsidRPr="00CF2E7C" w:rsidRDefault="00B01865" w:rsidP="00CF2E7C">
            <w:pPr>
              <w:rPr>
                <w:rFonts w:ascii="Calibri" w:hAnsi="Calibri" w:cs="Calibri"/>
              </w:rPr>
            </w:pPr>
            <w:r>
              <w:rPr>
                <w:rFonts w:ascii="Calibri" w:hAnsi="Calibri" w:cs="Calibri"/>
              </w:rPr>
              <w:t>X</w:t>
            </w: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24D8BBB1" w:rsidR="002F0752" w:rsidRPr="00CF2E7C" w:rsidRDefault="00A471F5" w:rsidP="00CF2E7C">
            <w:pPr>
              <w:rPr>
                <w:rFonts w:ascii="Calibri" w:hAnsi="Calibri" w:cs="Calibri"/>
              </w:rPr>
            </w:pPr>
            <w:r>
              <w:rPr>
                <w:rFonts w:ascii="Calibri" w:hAnsi="Calibri" w:cs="Calibri"/>
              </w:rPr>
              <w:t>X</w:t>
            </w: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29A5372A" w:rsidR="002F0752" w:rsidRPr="00CF2E7C" w:rsidRDefault="00A471F5"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42421322" w:rsidR="002F0752" w:rsidRPr="00CF2E7C" w:rsidRDefault="00A471F5" w:rsidP="00CF2E7C">
            <w:pPr>
              <w:rPr>
                <w:rFonts w:ascii="Calibri" w:hAnsi="Calibri" w:cs="Calibri"/>
              </w:rPr>
            </w:pPr>
            <w:r>
              <w:rPr>
                <w:rFonts w:ascii="Calibri" w:hAnsi="Calibri" w:cs="Calibri"/>
              </w:rPr>
              <w:t>X</w:t>
            </w: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2B0135F1" w:rsidR="002F0752" w:rsidRPr="00CF2E7C" w:rsidRDefault="002F0752" w:rsidP="00CF2E7C">
            <w:pPr>
              <w:rPr>
                <w:rFonts w:ascii="Calibri" w:hAnsi="Calibri" w:cs="Calibri"/>
              </w:rPr>
            </w:pPr>
          </w:p>
        </w:tc>
        <w:tc>
          <w:tcPr>
            <w:tcW w:w="1482" w:type="dxa"/>
            <w:vAlign w:val="center"/>
          </w:tcPr>
          <w:p w14:paraId="6807EF61" w14:textId="6D83FC1C" w:rsidR="002F0752" w:rsidRPr="00CF2E7C" w:rsidRDefault="007C6ABA" w:rsidP="00CF2E7C">
            <w:pPr>
              <w:rPr>
                <w:rFonts w:ascii="Calibri" w:hAnsi="Calibri" w:cs="Calibri"/>
              </w:rPr>
            </w:pPr>
            <w:r>
              <w:rPr>
                <w:rFonts w:ascii="Calibri" w:hAnsi="Calibri" w:cs="Calibri"/>
              </w:rPr>
              <w:t>X</w:t>
            </w: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1783A66C" w:rsidR="002F0752" w:rsidRPr="00CF2E7C" w:rsidRDefault="00A471F5"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30943103" w:rsidR="002F0752" w:rsidRPr="00CF2E7C" w:rsidRDefault="00A471F5"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6DD54D3E" w:rsidR="002F0752" w:rsidRPr="00CF2E7C" w:rsidRDefault="002F0752" w:rsidP="00CF2E7C">
            <w:pPr>
              <w:rPr>
                <w:rFonts w:ascii="Calibri" w:hAnsi="Calibri" w:cs="Calibri"/>
              </w:rPr>
            </w:pPr>
          </w:p>
        </w:tc>
        <w:tc>
          <w:tcPr>
            <w:tcW w:w="1482" w:type="dxa"/>
            <w:vAlign w:val="center"/>
          </w:tcPr>
          <w:p w14:paraId="40CB95DB" w14:textId="7B6BB395" w:rsidR="002F0752" w:rsidRPr="00CF2E7C" w:rsidRDefault="007C6ABA" w:rsidP="00CF2E7C">
            <w:pPr>
              <w:rPr>
                <w:rFonts w:ascii="Calibri" w:hAnsi="Calibri" w:cs="Calibri"/>
              </w:rPr>
            </w:pPr>
            <w:r>
              <w:rPr>
                <w:rFonts w:ascii="Calibri" w:hAnsi="Calibri" w:cs="Calibri"/>
              </w:rPr>
              <w:t>X</w:t>
            </w: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23835DDC" w:rsidR="002F0752" w:rsidRPr="00CF2E7C" w:rsidRDefault="007C6ABA" w:rsidP="00CF2E7C">
            <w:pPr>
              <w:rPr>
                <w:rFonts w:ascii="Calibri" w:hAnsi="Calibri" w:cs="Calibri"/>
              </w:rPr>
            </w:pPr>
            <w:r>
              <w:rPr>
                <w:rFonts w:ascii="Calibri" w:hAnsi="Calibri" w:cs="Calibri"/>
              </w:rPr>
              <w:t>X</w:t>
            </w: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01B49884" w:rsidR="002F0752" w:rsidRPr="00CF2E7C" w:rsidRDefault="007C6ABA" w:rsidP="00CF2E7C">
            <w:pPr>
              <w:rPr>
                <w:rFonts w:ascii="Calibri" w:hAnsi="Calibri" w:cs="Calibri"/>
              </w:rPr>
            </w:pPr>
            <w:r>
              <w:rPr>
                <w:rFonts w:ascii="Calibri" w:hAnsi="Calibri" w:cs="Calibri"/>
              </w:rPr>
              <w:t>X</w:t>
            </w: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084BC065" w:rsidR="002F0752" w:rsidRPr="00CF2E7C" w:rsidRDefault="007C6ABA"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5D209E43" w:rsidR="002F0752" w:rsidRPr="00CF2E7C" w:rsidRDefault="007C6ABA" w:rsidP="00CF2E7C">
            <w:pPr>
              <w:rPr>
                <w:rFonts w:ascii="Calibri" w:hAnsi="Calibri" w:cs="Calibri"/>
              </w:rPr>
            </w:pPr>
            <w:r>
              <w:rPr>
                <w:rFonts w:ascii="Calibri" w:hAnsi="Calibri" w:cs="Calibri"/>
              </w:rPr>
              <w:t>X</w:t>
            </w:r>
          </w:p>
        </w:tc>
        <w:tc>
          <w:tcPr>
            <w:tcW w:w="1483" w:type="dxa"/>
            <w:vAlign w:val="center"/>
          </w:tcPr>
          <w:p w14:paraId="0DE8CA67" w14:textId="47644A52" w:rsidR="002F0752" w:rsidRPr="00CF2E7C" w:rsidRDefault="007C6ABA" w:rsidP="00CF2E7C">
            <w:pPr>
              <w:rPr>
                <w:rFonts w:ascii="Calibri" w:hAnsi="Calibri" w:cs="Calibri"/>
              </w:rPr>
            </w:pPr>
            <w:r>
              <w:rPr>
                <w:rFonts w:ascii="Calibri" w:hAnsi="Calibri" w:cs="Calibri"/>
              </w:rPr>
              <w:t>X</w:t>
            </w: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6B90A5E4" w:rsidR="002F0752" w:rsidRPr="00CF2E7C" w:rsidRDefault="008D5AD3" w:rsidP="00CF2E7C">
            <w:pPr>
              <w:rPr>
                <w:rFonts w:ascii="Calibri" w:hAnsi="Calibri" w:cs="Calibri"/>
              </w:rPr>
            </w:pPr>
            <w:r>
              <w:rPr>
                <w:rFonts w:ascii="Calibri" w:hAnsi="Calibri" w:cs="Calibri"/>
              </w:rPr>
              <w:t>X</w:t>
            </w: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273907CD" w:rsidR="002F0752" w:rsidRPr="00CF2E7C" w:rsidRDefault="008D5AD3" w:rsidP="00CF2E7C">
            <w:pPr>
              <w:rPr>
                <w:rFonts w:ascii="Calibri" w:hAnsi="Calibri" w:cs="Calibri"/>
              </w:rPr>
            </w:pPr>
            <w:r>
              <w:rPr>
                <w:rFonts w:ascii="Calibri" w:hAnsi="Calibri" w:cs="Calibri"/>
              </w:rPr>
              <w:t>X</w:t>
            </w: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51ED1392" w:rsidR="002F0752" w:rsidRPr="00CF2E7C" w:rsidRDefault="008D5AD3" w:rsidP="00CF2E7C">
            <w:pPr>
              <w:rPr>
                <w:rFonts w:ascii="Calibri" w:hAnsi="Calibri" w:cs="Calibri"/>
              </w:rPr>
            </w:pPr>
            <w:r>
              <w:rPr>
                <w:rFonts w:ascii="Calibri" w:hAnsi="Calibri" w:cs="Calibri"/>
              </w:rPr>
              <w:t>X</w:t>
            </w: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0F14A88D" w:rsidR="002F0752" w:rsidRPr="00CF2E7C" w:rsidRDefault="008D5AD3" w:rsidP="00CF2E7C">
            <w:pPr>
              <w:rPr>
                <w:rFonts w:ascii="Calibri" w:hAnsi="Calibri" w:cs="Calibri"/>
              </w:rPr>
            </w:pPr>
            <w:r>
              <w:rPr>
                <w:rFonts w:ascii="Calibri" w:hAnsi="Calibri" w:cs="Calibri"/>
              </w:rPr>
              <w:t>X</w:t>
            </w: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2692DAE7" w:rsidR="002F0752" w:rsidRPr="00CF2E7C" w:rsidRDefault="008D5AD3" w:rsidP="00CF2E7C">
            <w:pPr>
              <w:rPr>
                <w:rFonts w:ascii="Calibri" w:hAnsi="Calibri" w:cs="Calibri"/>
              </w:rPr>
            </w:pPr>
            <w:r>
              <w:rPr>
                <w:rFonts w:ascii="Calibri" w:hAnsi="Calibri" w:cs="Calibri"/>
              </w:rPr>
              <w:t>X</w:t>
            </w: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6AE493CD" w:rsidR="002F0752" w:rsidRPr="00CF2E7C" w:rsidRDefault="008D5AD3" w:rsidP="00CF2E7C">
            <w:pPr>
              <w:rPr>
                <w:rFonts w:ascii="Calibri" w:hAnsi="Calibri" w:cs="Calibri"/>
              </w:rPr>
            </w:pPr>
            <w:r>
              <w:rPr>
                <w:rFonts w:ascii="Calibri" w:hAnsi="Calibri" w:cs="Calibri"/>
              </w:rPr>
              <w:t>X</w:t>
            </w: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5E070F0A" w:rsidR="002F0752" w:rsidRPr="00CF2E7C" w:rsidRDefault="008D5AD3" w:rsidP="00CF2E7C">
            <w:pPr>
              <w:rPr>
                <w:rFonts w:ascii="Calibri" w:hAnsi="Calibri" w:cs="Calibri"/>
              </w:rPr>
            </w:pPr>
            <w:r>
              <w:rPr>
                <w:rFonts w:ascii="Calibri" w:hAnsi="Calibri" w:cs="Calibri"/>
              </w:rPr>
              <w:t>X</w:t>
            </w: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4FD8DE4E" w:rsidR="002F0752" w:rsidRPr="00CF2E7C" w:rsidRDefault="008D5AD3" w:rsidP="00CF2E7C">
            <w:pPr>
              <w:rPr>
                <w:rFonts w:ascii="Calibri" w:hAnsi="Calibri" w:cs="Calibri"/>
              </w:rPr>
            </w:pPr>
            <w:r>
              <w:rPr>
                <w:rFonts w:ascii="Calibri" w:hAnsi="Calibri" w:cs="Calibri"/>
              </w:rPr>
              <w:t>X</w:t>
            </w: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4DD530D9" w:rsidR="002F0752" w:rsidRPr="00CF2E7C" w:rsidRDefault="008D5AD3" w:rsidP="00CF2E7C">
            <w:pPr>
              <w:rPr>
                <w:rFonts w:ascii="Calibri" w:hAnsi="Calibri" w:cs="Calibri"/>
              </w:rPr>
            </w:pPr>
            <w:r>
              <w:rPr>
                <w:rFonts w:ascii="Calibri" w:hAnsi="Calibri" w:cs="Calibri"/>
              </w:rPr>
              <w:t>X</w:t>
            </w: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06BFDEDC" w:rsidR="002F0752" w:rsidRPr="00CF2E7C" w:rsidRDefault="008D5AD3" w:rsidP="00CF2E7C">
            <w:pPr>
              <w:rPr>
                <w:rFonts w:ascii="Calibri" w:hAnsi="Calibri" w:cs="Calibri"/>
              </w:rPr>
            </w:pPr>
            <w:r>
              <w:rPr>
                <w:rFonts w:ascii="Calibri" w:hAnsi="Calibri" w:cs="Calibri"/>
              </w:rPr>
              <w:t>X</w:t>
            </w: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09D5523A" w:rsidR="002F0752" w:rsidRPr="00CF2E7C" w:rsidRDefault="008D5AD3" w:rsidP="00CF2E7C">
            <w:pPr>
              <w:rPr>
                <w:rFonts w:ascii="Calibri" w:hAnsi="Calibri" w:cs="Calibri"/>
              </w:rPr>
            </w:pPr>
            <w:r>
              <w:rPr>
                <w:rFonts w:ascii="Calibri" w:hAnsi="Calibri" w:cs="Calibri"/>
              </w:rPr>
              <w:t>X</w:t>
            </w: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5E73412E" w:rsidR="002F0752" w:rsidRPr="00CF2E7C" w:rsidRDefault="008D5AD3" w:rsidP="00CF2E7C">
            <w:pPr>
              <w:rPr>
                <w:rFonts w:ascii="Calibri" w:hAnsi="Calibri" w:cs="Calibri"/>
              </w:rPr>
            </w:pPr>
            <w:r>
              <w:rPr>
                <w:rFonts w:ascii="Calibri" w:hAnsi="Calibri" w:cs="Calibri"/>
              </w:rPr>
              <w:t>X</w:t>
            </w: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33E50E08" w:rsidR="002F0752" w:rsidRPr="00CF2E7C" w:rsidRDefault="008D5AD3" w:rsidP="00CF2E7C">
            <w:pPr>
              <w:rPr>
                <w:rFonts w:ascii="Calibri" w:hAnsi="Calibri" w:cs="Calibri"/>
              </w:rPr>
            </w:pPr>
            <w:r>
              <w:rPr>
                <w:rFonts w:ascii="Calibri" w:hAnsi="Calibri" w:cs="Calibri"/>
              </w:rPr>
              <w:t>X</w:t>
            </w: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3248F4D3" w:rsidR="002F0752" w:rsidRPr="00CF2E7C" w:rsidRDefault="008D5AD3" w:rsidP="00CF2E7C">
            <w:pPr>
              <w:rPr>
                <w:rFonts w:ascii="Calibri" w:hAnsi="Calibri" w:cs="Calibri"/>
              </w:rPr>
            </w:pPr>
            <w:r>
              <w:rPr>
                <w:rFonts w:ascii="Calibri" w:hAnsi="Calibri" w:cs="Calibri"/>
              </w:rPr>
              <w:t>X</w:t>
            </w: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06986C6A" w:rsidR="002F0752" w:rsidRPr="00CF2E7C" w:rsidRDefault="008D5AD3" w:rsidP="00CF2E7C">
            <w:pPr>
              <w:rPr>
                <w:rFonts w:ascii="Calibri" w:hAnsi="Calibri" w:cs="Calibri"/>
              </w:rPr>
            </w:pPr>
            <w:r>
              <w:rPr>
                <w:rFonts w:ascii="Calibri" w:hAnsi="Calibri" w:cs="Calibri"/>
              </w:rPr>
              <w:t>X</w:t>
            </w: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2083C4CC" w:rsidR="002F0752" w:rsidRPr="00CF2E7C" w:rsidRDefault="008D5AD3" w:rsidP="00CF2E7C">
            <w:pPr>
              <w:rPr>
                <w:rFonts w:ascii="Calibri" w:hAnsi="Calibri" w:cs="Calibri"/>
              </w:rPr>
            </w:pPr>
            <w:r>
              <w:rPr>
                <w:rFonts w:ascii="Calibri" w:hAnsi="Calibri" w:cs="Calibri"/>
              </w:rPr>
              <w:t>X</w:t>
            </w: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A2198FA" w:rsidR="002F0752" w:rsidRPr="00CF2E7C" w:rsidRDefault="008D5AD3" w:rsidP="00CF2E7C">
            <w:pPr>
              <w:rPr>
                <w:rFonts w:ascii="Calibri" w:hAnsi="Calibri" w:cs="Calibri"/>
              </w:rPr>
            </w:pPr>
            <w:r>
              <w:rPr>
                <w:rFonts w:ascii="Calibri" w:hAnsi="Calibri" w:cs="Calibri"/>
              </w:rPr>
              <w:t>X</w:t>
            </w: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5F6AAF9" w:rsidR="002F0752" w:rsidRPr="00CF2E7C" w:rsidRDefault="008D5AD3" w:rsidP="00CF2E7C">
            <w:pPr>
              <w:rPr>
                <w:rFonts w:ascii="Calibri" w:hAnsi="Calibri" w:cs="Calibri"/>
              </w:rPr>
            </w:pPr>
            <w:r>
              <w:rPr>
                <w:rFonts w:ascii="Calibri" w:hAnsi="Calibri" w:cs="Calibri"/>
              </w:rPr>
              <w:t>X</w:t>
            </w: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130A11EA" w:rsidR="002F0752" w:rsidRPr="00CF2E7C" w:rsidRDefault="008D5AD3" w:rsidP="00CF2E7C">
            <w:pPr>
              <w:rPr>
                <w:rFonts w:ascii="Calibri" w:hAnsi="Calibri" w:cs="Calibri"/>
              </w:rPr>
            </w:pPr>
            <w:r>
              <w:rPr>
                <w:rFonts w:ascii="Calibri" w:hAnsi="Calibri" w:cs="Calibri"/>
              </w:rPr>
              <w:t>X</w:t>
            </w: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045DF070" w:rsidR="002F0752" w:rsidRPr="00CF2E7C" w:rsidRDefault="008D5AD3" w:rsidP="00CF2E7C">
            <w:pPr>
              <w:rPr>
                <w:rFonts w:ascii="Calibri" w:hAnsi="Calibri" w:cs="Calibri"/>
              </w:rPr>
            </w:pPr>
            <w:r>
              <w:rPr>
                <w:rFonts w:ascii="Calibri" w:hAnsi="Calibri" w:cs="Calibri"/>
              </w:rPr>
              <w:t>X</w:t>
            </w: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22DDB588" w:rsidR="002F0752" w:rsidRPr="00CF2E7C" w:rsidRDefault="008D5AD3" w:rsidP="00CF2E7C">
            <w:pPr>
              <w:rPr>
                <w:rFonts w:ascii="Calibri" w:hAnsi="Calibri" w:cs="Calibri"/>
              </w:rPr>
            </w:pPr>
            <w:r>
              <w:rPr>
                <w:rFonts w:ascii="Calibri" w:hAnsi="Calibri" w:cs="Calibri"/>
              </w:rPr>
              <w:t>X</w:t>
            </w: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2E89E8C4" w:rsidR="002F0752" w:rsidRPr="00CF2E7C" w:rsidRDefault="008D5AD3" w:rsidP="00CF2E7C">
            <w:pPr>
              <w:rPr>
                <w:rFonts w:ascii="Calibri" w:hAnsi="Calibri" w:cs="Calibri"/>
              </w:rPr>
            </w:pPr>
            <w:r>
              <w:rPr>
                <w:rFonts w:ascii="Calibri" w:hAnsi="Calibri" w:cs="Calibri"/>
              </w:rPr>
              <w:t>X</w:t>
            </w: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32312549" w:rsidR="002F0752" w:rsidRPr="00CF2E7C" w:rsidRDefault="008D5AD3" w:rsidP="00CF2E7C">
            <w:pPr>
              <w:rPr>
                <w:rFonts w:ascii="Calibri" w:hAnsi="Calibri" w:cs="Calibri"/>
              </w:rPr>
            </w:pPr>
            <w:r>
              <w:rPr>
                <w:rFonts w:ascii="Calibri" w:hAnsi="Calibri" w:cs="Calibri"/>
              </w:rPr>
              <w:t xml:space="preserve">Almost all sectors are targeted since the measures are very </w:t>
            </w:r>
            <w:r w:rsidR="00F66987">
              <w:rPr>
                <w:rFonts w:ascii="Calibri" w:hAnsi="Calibri" w:cs="Calibri"/>
              </w:rPr>
              <w:t>broad and comprehensive.</w:t>
            </w: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2270222F" w:rsidR="002F0752" w:rsidRPr="00CF2E7C" w:rsidRDefault="00F66987" w:rsidP="00CF2E7C">
            <w:pPr>
              <w:rPr>
                <w:rFonts w:ascii="Calibri" w:hAnsi="Calibri" w:cs="Calibri"/>
              </w:rPr>
            </w:pPr>
            <w:r>
              <w:rPr>
                <w:rFonts w:ascii="Calibri" w:hAnsi="Calibri" w:cs="Calibri"/>
              </w:rPr>
              <w:t>X</w:t>
            </w: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42DC358C" w:rsidR="002F0752" w:rsidRPr="00CF2E7C" w:rsidRDefault="00F66987" w:rsidP="00CF2E7C">
            <w:pPr>
              <w:rPr>
                <w:rFonts w:ascii="Calibri" w:hAnsi="Calibri" w:cs="Calibri"/>
              </w:rPr>
            </w:pPr>
            <w:r>
              <w:rPr>
                <w:rFonts w:ascii="Calibri" w:hAnsi="Calibri" w:cs="Calibri"/>
              </w:rPr>
              <w:t>X</w:t>
            </w: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14FF18D9" w:rsidR="002F0752" w:rsidRPr="00CF2E7C" w:rsidRDefault="00F66987" w:rsidP="00CF2E7C">
            <w:pPr>
              <w:rPr>
                <w:rFonts w:ascii="Calibri" w:hAnsi="Calibri" w:cs="Calibri"/>
              </w:rPr>
            </w:pPr>
            <w:r>
              <w:rPr>
                <w:rFonts w:ascii="Calibri" w:hAnsi="Calibri" w:cs="Calibri"/>
              </w:rPr>
              <w:t>X</w:t>
            </w: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5D11FECC" w:rsidR="002F0752" w:rsidRPr="00CF2E7C" w:rsidRDefault="00C34E53" w:rsidP="00CF2E7C">
            <w:pPr>
              <w:rPr>
                <w:rFonts w:ascii="Calibri" w:hAnsi="Calibri" w:cs="Calibri"/>
              </w:rPr>
            </w:pPr>
            <w:r w:rsidRPr="00C34E53">
              <w:rPr>
                <w:rFonts w:ascii="Calibri" w:hAnsi="Calibri" w:cs="Calibri"/>
              </w:rPr>
              <w:t>The Undersecretariat of the Environment of the Nation issued the Annual Management Report for the year 2024, which reviews the progress made in the activities of the National Cabinet on Climate Change (GNCC) created by Law No. 27,520.</w:t>
            </w:r>
            <w:r w:rsidR="006715B8">
              <w:rPr>
                <w:rFonts w:ascii="Calibri" w:hAnsi="Calibri" w:cs="Calibri"/>
              </w:rPr>
              <w:t xml:space="preserve"> </w:t>
            </w:r>
            <w:hyperlink r:id="rId20" w:history="1">
              <w:r w:rsidR="006715B8" w:rsidRPr="0015648B">
                <w:rPr>
                  <w:rStyle w:val="Hipervnculo"/>
                  <w:rFonts w:ascii="Calibri" w:hAnsi="Calibri" w:cs="Calibri"/>
                </w:rPr>
                <w:t>https://web.archive.org/web/20250701180325/https://beccarvarela.com/novedades/la-subsecretaria-de-ambiente-de-la-nacion-emitio-el-informe-anual-de-gestion-del-ano-2024-a-partir-del-cual-se-repasan-los-avances-referidos-a-la-actividad-del-gabinete-nacional-de-cambio-climatico-g/</w:t>
              </w:r>
            </w:hyperlink>
            <w:r w:rsidR="006715B8">
              <w:rPr>
                <w:rFonts w:ascii="Calibri" w:hAnsi="Calibri" w:cs="Calibri"/>
              </w:rPr>
              <w:t xml:space="preserve"> </w:t>
            </w: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0FF581B0" w:rsidR="002F0752" w:rsidRPr="00CF2E7C" w:rsidRDefault="006715B8"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lastRenderedPageBreak/>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0BB55D7D" w:rsidR="002F0752" w:rsidRPr="00CF2E7C" w:rsidRDefault="00BF0D7C" w:rsidP="00CF2E7C">
            <w:pPr>
              <w:rPr>
                <w:rFonts w:ascii="Calibri" w:hAnsi="Calibri" w:cs="Calibri"/>
              </w:rPr>
            </w:pPr>
            <w:r>
              <w:rPr>
                <w:rFonts w:ascii="Calibri" w:hAnsi="Calibri" w:cs="Calibri"/>
              </w:rPr>
              <w:t>X</w:t>
            </w: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578110EA" w:rsidR="002F0752" w:rsidRPr="00CF2E7C" w:rsidRDefault="00BF0D7C" w:rsidP="00CF2E7C">
            <w:pPr>
              <w:rPr>
                <w:rFonts w:ascii="Calibri" w:hAnsi="Calibri" w:cs="Calibri"/>
              </w:rPr>
            </w:pPr>
            <w:r>
              <w:t xml:space="preserve">The </w:t>
            </w:r>
            <w:proofErr w:type="spellStart"/>
            <w:r>
              <w:t>PNAyMCC</w:t>
            </w:r>
            <w:proofErr w:type="spellEnd"/>
            <w:r>
              <w:t xml:space="preserve"> integrates methane reduction into a broader target of greenhouse gas (GHG) emissions reductions, focusing on methane intensity in the context of overall GHG mitigation strategies. The methane target is part of Argentina's updated NDC, which is aligned with the 2030 and 2050 climate goals, aiming to reduce overall emissions by 27.7% by 2030.</w:t>
            </w: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6C35B17C" w:rsidR="002F0752" w:rsidRPr="00CF2E7C" w:rsidRDefault="00B440C6" w:rsidP="00CF2E7C">
            <w:pPr>
              <w:rPr>
                <w:rFonts w:ascii="Calibri" w:hAnsi="Calibri" w:cs="Calibri"/>
              </w:rPr>
            </w:pPr>
            <w:r>
              <w:rPr>
                <w:rFonts w:ascii="Calibri" w:hAnsi="Calibri" w:cs="Calibri"/>
              </w:rPr>
              <w:t>X</w:t>
            </w: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3DD9EBBE"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160DE564" w:rsidR="002F0752" w:rsidRPr="00CF2E7C" w:rsidRDefault="00FA094F" w:rsidP="00CF2E7C">
            <w:pPr>
              <w:rPr>
                <w:rFonts w:ascii="Calibri" w:hAnsi="Calibri" w:cs="Calibri"/>
              </w:rPr>
            </w:pPr>
            <w:r>
              <w:rPr>
                <w:rFonts w:ascii="Calibri" w:hAnsi="Calibri" w:cs="Calibri"/>
              </w:rPr>
              <w:t>X</w:t>
            </w: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64AD4956" w:rsidR="002F0752" w:rsidRPr="00CF2E7C" w:rsidRDefault="00C56E40"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1CB1FBED" w:rsidR="002F0752" w:rsidRPr="33822AF7" w:rsidRDefault="008E5585"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31A8777" w:rsidR="002F0752" w:rsidRPr="33822AF7" w:rsidRDefault="008E5585"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5BCAFC28" w:rsidR="002F0752" w:rsidRPr="00CF2E7C" w:rsidRDefault="008E558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4DCB01CC" w:rsidR="002F0752" w:rsidRPr="00CF2E7C" w:rsidRDefault="0030323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0010BB04" w:rsidR="002F0752" w:rsidRPr="00CF2E7C" w:rsidRDefault="0030323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1CE33C02" w:rsidR="002F0752" w:rsidRPr="00CF2E7C" w:rsidRDefault="0030323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5481CB01" w:rsidR="002F0752" w:rsidRPr="00CF2E7C" w:rsidRDefault="0030323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1255C846" w:rsidR="002F0752" w:rsidRPr="00CF2E7C" w:rsidRDefault="0030323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FF0CFE9" w:rsidR="002F0752" w:rsidRPr="00CF2E7C" w:rsidRDefault="0030323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2682EE33" w:rsidR="002F0752" w:rsidRPr="00CF2E7C" w:rsidRDefault="00D96C8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07F8E070" w:rsidR="002F0752" w:rsidRPr="00CF2E7C" w:rsidRDefault="00D96C8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1C6EE38" w:rsidR="002F0752" w:rsidRPr="00CF2E7C" w:rsidRDefault="00D96C8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ADC9C2" w:rsidR="002F0752" w:rsidRPr="00CF2E7C" w:rsidRDefault="00D96C8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61221B93" w:rsidR="002F0752" w:rsidRPr="00CF2E7C" w:rsidRDefault="00D96C8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488B93B" w:rsidR="002F0752" w:rsidRPr="00CF2E7C" w:rsidRDefault="00D96C8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2BCBD114"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4520AF8D" w:rsidR="002F0752" w:rsidRPr="00CF2E7C" w:rsidRDefault="0040165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048B2CBF" w:rsidR="002F0752" w:rsidRPr="00CF2E7C" w:rsidRDefault="008600D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37DBE020" w:rsidR="002F0752" w:rsidRPr="00CF2E7C" w:rsidRDefault="0040165A" w:rsidP="00CF2E7C">
            <w:pPr>
              <w:rPr>
                <w:rFonts w:ascii="Calibri" w:eastAsia="Calibri" w:hAnsi="Calibri" w:cs="Calibri"/>
                <w:color w:val="000000" w:themeColor="text1"/>
              </w:rPr>
            </w:pPr>
            <w:r>
              <w:t xml:space="preserve">Measure </w:t>
            </w:r>
            <w:r>
              <w:t>TE-33 recommends strengthening subnational authority capacities to identify, monitor, and control fugitive methane emissions in upstream hydrocarbon operations, indicating a clear recommendation for mitigation of such emissions.</w:t>
            </w: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09320D1C" w:rsidR="002F0752" w:rsidRPr="00CF2E7C" w:rsidRDefault="0040165A"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52FAE32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602DAAB6" w:rsidR="002F0752" w:rsidRPr="00CF2E7C" w:rsidRDefault="0040165A"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3F7A6D54" w:rsidR="002F0752" w:rsidRPr="00CF2E7C" w:rsidRDefault="008600D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56C10DA0" w:rsidR="002F0752" w:rsidRPr="00CF2E7C" w:rsidRDefault="008600D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46DFA81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0D405DF0" w:rsidR="002F0752" w:rsidRPr="00CF2E7C" w:rsidRDefault="008600D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037C1DF4" w:rsidR="002F0752" w:rsidRPr="00CF2E7C" w:rsidRDefault="000C4C5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314BF3ED" w:rsidR="002F0752" w:rsidRPr="00CF2E7C" w:rsidRDefault="000C4C51" w:rsidP="00CF2E7C">
            <w:pPr>
              <w:rPr>
                <w:rFonts w:ascii="Calibri" w:eastAsia="Calibri" w:hAnsi="Calibri" w:cs="Calibri"/>
                <w:color w:val="000000" w:themeColor="text1"/>
              </w:rPr>
            </w:pPr>
            <w:r w:rsidRPr="000C4C51">
              <w:rPr>
                <w:rFonts w:ascii="Calibri" w:eastAsia="Calibri" w:hAnsi="Calibri" w:cs="Calibri"/>
                <w:color w:val="000000" w:themeColor="text1"/>
              </w:rPr>
              <w:t>The plan encourages energy transition and improved practices in fossil fuel sectors, which imply reducing flaring, though not through direct regulation.</w:t>
            </w:r>
            <w:r w:rsidR="00A960F0">
              <w:rPr>
                <w:rFonts w:ascii="Calibri" w:eastAsia="Calibri" w:hAnsi="Calibri" w:cs="Calibri"/>
                <w:color w:val="000000" w:themeColor="text1"/>
              </w:rPr>
              <w:t xml:space="preserve"> Measure </w:t>
            </w:r>
            <w:r w:rsidR="00A960F0">
              <w:t>TE-33 recommends enhancing provincial oversight of flaring indicating the policy encourages its reduction through institutional strengthening.</w:t>
            </w:r>
            <w:r w:rsidRPr="000C4C51">
              <w:rPr>
                <w:rFonts w:ascii="Calibri" w:eastAsia="Calibri" w:hAnsi="Calibri" w:cs="Calibri"/>
                <w:color w:val="000000" w:themeColor="text1"/>
              </w:rPr>
              <w:tab/>
            </w: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4B95D0DD" w:rsidR="002F0752" w:rsidRPr="00CF2E7C" w:rsidRDefault="000C4C5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4D7A831A" w:rsidR="002F0752" w:rsidRPr="00CF2E7C" w:rsidRDefault="000C4C5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64FF3A89" w:rsidR="002F0752" w:rsidRPr="00CF2E7C" w:rsidRDefault="000C4C51" w:rsidP="00CF2E7C">
            <w:pPr>
              <w:rPr>
                <w:rFonts w:ascii="Calibri" w:eastAsia="Calibri" w:hAnsi="Calibri" w:cs="Calibri"/>
                <w:color w:val="000000" w:themeColor="text1"/>
              </w:rPr>
            </w:pPr>
            <w:r w:rsidRPr="000C4C51">
              <w:rPr>
                <w:rFonts w:ascii="Calibri" w:eastAsia="Calibri" w:hAnsi="Calibri" w:cs="Calibri"/>
                <w:color w:val="000000" w:themeColor="text1"/>
              </w:rPr>
              <w:t>Venting reduction is indirectly promoted through cleaner technologies and climate targets, but not explicitly required.</w:t>
            </w: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3AB94CBD" w:rsidR="002F0752" w:rsidRPr="00CF2E7C" w:rsidRDefault="00B77B6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1C1B743" w:rsidR="002F0752" w:rsidRPr="00CF2E7C" w:rsidRDefault="00B77B6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2FA085EB" w:rsidR="002F0752" w:rsidRPr="00CF2E7C" w:rsidRDefault="00B77B6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3C3E5686" w:rsidR="002F0752" w:rsidRPr="00CF2E7C" w:rsidRDefault="00B77B62"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3E8A1777" w:rsidR="002F0752" w:rsidRPr="00CF2E7C" w:rsidRDefault="00B77B62"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52B30054" w:rsidR="002F0752" w:rsidRPr="00CF2E7C" w:rsidRDefault="00B77B62"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38207706" w:rsidR="002F0752" w:rsidRPr="00CF2E7C" w:rsidRDefault="00B77B62"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5082F938" w:rsidR="002F0752" w:rsidRPr="00CF2E7C" w:rsidRDefault="00B77B62"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4B9FC397" w:rsidR="002F0752" w:rsidRPr="00CF2E7C" w:rsidRDefault="00B77B62"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4B1F676C" w:rsidR="002F0752" w:rsidRPr="00CF2E7C" w:rsidRDefault="00B77B62"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112"/>
            </w:tblGrid>
            <w:tr w:rsidR="00B77B62" w:rsidRPr="00B77B62" w14:paraId="4BC75A78" w14:textId="77777777" w:rsidTr="00B77B62">
              <w:trPr>
                <w:tblCellSpacing w:w="15" w:type="dxa"/>
              </w:trPr>
              <w:tc>
                <w:tcPr>
                  <w:tcW w:w="0" w:type="auto"/>
                  <w:vAlign w:val="center"/>
                  <w:hideMark/>
                </w:tcPr>
                <w:p w14:paraId="44D8C9ED" w14:textId="77777777" w:rsidR="00B77B62" w:rsidRPr="00B77B62" w:rsidRDefault="00B77B62" w:rsidP="00B77B62">
                  <w:pPr>
                    <w:spacing w:before="0" w:after="0"/>
                  </w:pPr>
                  <w:r w:rsidRPr="00B77B62">
                    <w:rPr>
                      <w:rStyle w:val="nfasis"/>
                      <w:i w:val="0"/>
                      <w:iCs w:val="0"/>
                    </w:rPr>
                    <w:t>The policy tool promotes the inclusion of venting and flaring in national GHG inventories and encourages transition to clean energy sources. However, it does not establish specific mandates, standards, or enforcement mechanisms.</w:t>
                  </w:r>
                </w:p>
              </w:tc>
            </w:tr>
          </w:tbl>
          <w:p w14:paraId="14A6A840" w14:textId="77777777" w:rsidR="002F0752" w:rsidRPr="00B77B62"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46C9C581" w:rsidR="002F0752" w:rsidRPr="00CF2E7C" w:rsidRDefault="004B37C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3E4B94D7" w:rsidR="002F0752" w:rsidRPr="00CF2E7C" w:rsidRDefault="00A960F0"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49D9A995"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45AAD090" w:rsidR="002F0752" w:rsidRPr="00CF2E7C" w:rsidRDefault="004B37C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450FF0F7" w:rsidR="002F0752" w:rsidRPr="00CF2E7C" w:rsidRDefault="004B37C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0F9C069B" w:rsidR="002F0752" w:rsidRPr="00CF2E7C" w:rsidRDefault="004B37C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6FB617BC" w:rsidR="002F0752" w:rsidRPr="00CF2E7C" w:rsidRDefault="004B37C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4C15339D" w:rsidR="002F0752" w:rsidRPr="00CF2E7C" w:rsidRDefault="00A336F1" w:rsidP="00CF2E7C">
            <w:pPr>
              <w:rPr>
                <w:rFonts w:ascii="Calibri" w:eastAsia="Calibri" w:hAnsi="Calibri" w:cs="Calibri"/>
                <w:color w:val="000000" w:themeColor="text1"/>
              </w:rPr>
            </w:pPr>
            <w:r>
              <w:rPr>
                <w:rFonts w:ascii="Calibri" w:eastAsia="Calibri" w:hAnsi="Calibri" w:cs="Calibri"/>
                <w:color w:val="000000" w:themeColor="text1"/>
              </w:rPr>
              <w:t>Measure T</w:t>
            </w:r>
            <w:r w:rsidRPr="00A336F1">
              <w:rPr>
                <w:rFonts w:ascii="Calibri" w:eastAsia="Calibri" w:hAnsi="Calibri" w:cs="Calibri"/>
                <w:color w:val="000000" w:themeColor="text1"/>
              </w:rPr>
              <w:t>E-12 promotes the adoption of technologies aimed at reducing methane emissions in exploration and production, which can include efficiency measures in gas flaring.</w:t>
            </w: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0F3C2B9B" w:rsidR="002F0752" w:rsidRPr="00CF2E7C" w:rsidRDefault="004B37C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6C191497" w:rsidR="002F0752" w:rsidRPr="00CF2E7C" w:rsidRDefault="00DF2A9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1937DD91" w:rsidR="002F0752" w:rsidRPr="00CF2E7C" w:rsidRDefault="00DF2A9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0F3BCF22" w:rsidR="002F0752" w:rsidRPr="00CF2E7C" w:rsidRDefault="00DF2A9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0485FB76" w:rsidR="002F0752" w:rsidRPr="00CF2E7C" w:rsidRDefault="00DF2A9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230C8282" w:rsidR="002F0752" w:rsidRPr="00CF2E7C" w:rsidRDefault="00DF2A9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31F78840" w:rsidR="002F0752" w:rsidRPr="00CF2E7C" w:rsidRDefault="00DF2A9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0A46B955" w:rsidR="002F0752" w:rsidRPr="00CF2E7C" w:rsidRDefault="007F3CE6" w:rsidP="00CF2E7C">
            <w:pPr>
              <w:rPr>
                <w:rFonts w:ascii="Calibri" w:hAnsi="Calibri" w:cs="Calibri"/>
              </w:rPr>
            </w:pPr>
            <w:r>
              <w:rPr>
                <w:rFonts w:ascii="Calibri" w:hAnsi="Calibri" w:cs="Calibri"/>
              </w:rPr>
              <w:t>X</w:t>
            </w: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5640B636" w:rsidR="002F0752" w:rsidRPr="00CF2E7C" w:rsidRDefault="007F3CE6" w:rsidP="00CF2E7C">
            <w:pPr>
              <w:rPr>
                <w:rFonts w:ascii="Calibri" w:hAnsi="Calibri" w:cs="Calibri"/>
              </w:rPr>
            </w:pPr>
            <w:r>
              <w:rPr>
                <w:rFonts w:ascii="Calibri" w:hAnsi="Calibri" w:cs="Calibri"/>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0B9B28A3" w:rsidR="002F0752" w:rsidRPr="00CF2E7C" w:rsidRDefault="007F3CE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41E03504"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5A72A1B9" w:rsidR="002F0752" w:rsidRPr="00CF2E7C" w:rsidRDefault="007F3CE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515EAC33" w:rsidR="002F0752" w:rsidRPr="00CF2E7C" w:rsidRDefault="007F3CE6"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380100E3" w:rsidR="002F0752" w:rsidRPr="00CF2E7C" w:rsidRDefault="007F3CE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1434D114" w:rsidR="002F0752" w:rsidRPr="00CF2E7C" w:rsidRDefault="007F3CE6"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4945B88B" w:rsidR="002F0752" w:rsidRPr="00CF2E7C" w:rsidRDefault="007F3CE6"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12C582E4" w:rsidR="002F0752" w:rsidRPr="00CF2E7C" w:rsidRDefault="007F3CE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3E3B28DD" w:rsidR="002F0752" w:rsidRPr="00CF2E7C" w:rsidRDefault="007F3CE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E9B7D6C" w:rsidR="002F0752" w:rsidRPr="00CF2E7C" w:rsidRDefault="007F3CE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2E27A1F4" w:rsidR="002F0752" w:rsidRPr="00CF2E7C" w:rsidRDefault="007F3CE6"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417CE1EF" w:rsidR="002F0752" w:rsidRPr="00CF2E7C" w:rsidRDefault="007F3CE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6EF474EC" w:rsidR="002F0752" w:rsidRPr="00CF2E7C" w:rsidRDefault="007F3CE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33367F8A" w:rsidR="002F0752" w:rsidRPr="00CF2E7C" w:rsidRDefault="007F3CE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4CC7AA12" w:rsidR="002F0752" w:rsidRPr="00CF2E7C" w:rsidRDefault="007F3CE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60A108B5" w:rsidR="002F0752" w:rsidRPr="00CF2E7C" w:rsidRDefault="007F3CE6" w:rsidP="00CF2E7C">
            <w:pPr>
              <w:rPr>
                <w:rFonts w:ascii="Calibri" w:eastAsia="Calibri" w:hAnsi="Calibri" w:cs="Calibri"/>
                <w:color w:val="000000" w:themeColor="text1"/>
              </w:rPr>
            </w:pPr>
            <w:r>
              <w:t>The policy tool outlines the possibility of economic support to encourage sustainable agricultural practices that reduce methane emissions. These include grants and subsidies for biodigester installation, sustainable livestock initiatives, and climate-resilient rice cultivation techniques. It also promotes public funding and international cooperation to support research and technological innovation (see Section 5.3.2 on Agroecosystems and 5.4 on Enabling Conditions).</w:t>
            </w: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1CC75495" w:rsidR="002F0752" w:rsidRPr="00CF2E7C" w:rsidRDefault="007F3CE6"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26049B57" w:rsidR="002F0752" w:rsidRPr="00CF2E7C" w:rsidRDefault="007F3CE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19C82FD3" w:rsidR="002F0752" w:rsidRPr="00CF2E7C" w:rsidRDefault="007F3CE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2FDF759D" w:rsidR="002F0752" w:rsidRPr="00CF2E7C" w:rsidRDefault="007F3CE6"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2AAFD836" w:rsidR="002F0752" w:rsidRPr="00CF2E7C" w:rsidRDefault="007F3CE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370650BB" w:rsidR="002F0752" w:rsidRPr="00CF2E7C" w:rsidRDefault="007F3CE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0853E9DB" w:rsidR="002F0752" w:rsidRPr="00CF2E7C" w:rsidRDefault="007F3CE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163F3AD2" w:rsidR="002F0752" w:rsidRPr="00CF2E7C" w:rsidRDefault="007F3CE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12C04FFA" w:rsidR="002F0752" w:rsidRPr="00CF2E7C" w:rsidRDefault="007F3CE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76C8DA72" w:rsidR="002F0752" w:rsidRPr="00CF2E7C" w:rsidRDefault="007F3CE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3CA5DECC" w:rsidR="002F0752" w:rsidRPr="00CF2E7C" w:rsidRDefault="007F3CE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4D0662" w:rsidR="002F0752" w:rsidRPr="00CF2E7C" w:rsidRDefault="007F3CE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685B6368" w:rsidR="002F0752" w:rsidRPr="00CF2E7C" w:rsidRDefault="00A428C9"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1501766F" w:rsidR="002F0752" w:rsidRPr="00CF2E7C" w:rsidRDefault="00A428C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74293825" w:rsidR="002F0752" w:rsidRPr="00CF2E7C" w:rsidRDefault="00A428C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C5BC9A4" w:rsidR="002F0752" w:rsidRPr="00CF2E7C" w:rsidRDefault="00A428C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2970806E" w:rsidR="002F0752" w:rsidRPr="00CF2E7C" w:rsidRDefault="00A428C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41530841" w:rsidR="002F0752" w:rsidRPr="00CF2E7C" w:rsidRDefault="00A428C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2262BF56" w:rsidR="002F0752" w:rsidRPr="00CF2E7C" w:rsidRDefault="00A428C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58B49270" w:rsidR="002F0752" w:rsidRPr="00CF2E7C" w:rsidRDefault="00A428C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18538F7E" w:rsidR="002F0752" w:rsidRPr="00CF2E7C" w:rsidRDefault="00A428C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06AF7C96" w:rsidR="002F0752" w:rsidRPr="00CF2E7C" w:rsidRDefault="00A428C9" w:rsidP="00CF2E7C">
            <w:pPr>
              <w:rPr>
                <w:rFonts w:ascii="Calibri" w:eastAsia="Times New Roman" w:hAnsi="Calibri" w:cs="Calibri"/>
                <w:kern w:val="0"/>
                <w:lang w:eastAsia="en-GB"/>
                <w14:ligatures w14:val="none"/>
              </w:rPr>
            </w:pPr>
            <w:r>
              <w:t>The policy tool refers to the Intergovernmental Panel on Climate Change (IPCC) inventory methodologies as the official basis for national GHG accounting (see Section 6 of the Plan).</w:t>
            </w: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BB7535B" w14:textId="77777777" w:rsidR="0053543F" w:rsidRDefault="0053543F" w:rsidP="00874E39">
      <w:r>
        <w:separator/>
      </w:r>
    </w:p>
  </w:endnote>
  <w:endnote w:type="continuationSeparator" w:id="0">
    <w:p w14:paraId="53D34C45" w14:textId="77777777" w:rsidR="0053543F" w:rsidRDefault="0053543F" w:rsidP="00874E39">
      <w:r>
        <w:continuationSeparator/>
      </w:r>
    </w:p>
  </w:endnote>
  <w:endnote w:type="continuationNotice" w:id="1">
    <w:p w14:paraId="689EE7DD" w14:textId="77777777" w:rsidR="0053543F" w:rsidRDefault="0053543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7216"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64384"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2336"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371BA4AD" id="Group 3" o:spid="_x0000_s1026" style="position:absolute;margin-left:144.15pt;margin-top:730.65pt;width:234.85pt;height:56.65pt;z-index:251662336;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6804FF5" w14:textId="77777777" w:rsidR="0053543F" w:rsidRDefault="0053543F" w:rsidP="00874E39">
      <w:r>
        <w:separator/>
      </w:r>
    </w:p>
  </w:footnote>
  <w:footnote w:type="continuationSeparator" w:id="0">
    <w:p w14:paraId="4A18EFC0" w14:textId="77777777" w:rsidR="0053543F" w:rsidRDefault="0053543F" w:rsidP="00874E39">
      <w:r>
        <w:continuationSeparator/>
      </w:r>
    </w:p>
  </w:footnote>
  <w:footnote w:type="continuationNotice" w:id="1">
    <w:p w14:paraId="0C44EF27" w14:textId="77777777" w:rsidR="0053543F" w:rsidRDefault="0053543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3"/>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F2B"/>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4C51"/>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9DC"/>
    <w:rsid w:val="00274B22"/>
    <w:rsid w:val="00277FC5"/>
    <w:rsid w:val="00284ADD"/>
    <w:rsid w:val="00285DA7"/>
    <w:rsid w:val="00286683"/>
    <w:rsid w:val="00286FE0"/>
    <w:rsid w:val="002878A1"/>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59E1"/>
    <w:rsid w:val="002B6C7E"/>
    <w:rsid w:val="002B708A"/>
    <w:rsid w:val="002B7D5C"/>
    <w:rsid w:val="002C060D"/>
    <w:rsid w:val="002C0DCE"/>
    <w:rsid w:val="002C14C2"/>
    <w:rsid w:val="002C169C"/>
    <w:rsid w:val="002C22F1"/>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31"/>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077"/>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65A"/>
    <w:rsid w:val="00401843"/>
    <w:rsid w:val="004024D0"/>
    <w:rsid w:val="00404119"/>
    <w:rsid w:val="00404453"/>
    <w:rsid w:val="00405D8B"/>
    <w:rsid w:val="00406643"/>
    <w:rsid w:val="00410170"/>
    <w:rsid w:val="00410853"/>
    <w:rsid w:val="00410FCF"/>
    <w:rsid w:val="00413B91"/>
    <w:rsid w:val="0041424B"/>
    <w:rsid w:val="0041490F"/>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7C0"/>
    <w:rsid w:val="004B3A8E"/>
    <w:rsid w:val="004B3C40"/>
    <w:rsid w:val="004B3E05"/>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543F"/>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67E3D"/>
    <w:rsid w:val="00570082"/>
    <w:rsid w:val="0057044C"/>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D18"/>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672"/>
    <w:rsid w:val="005C327C"/>
    <w:rsid w:val="005C4420"/>
    <w:rsid w:val="005C5681"/>
    <w:rsid w:val="005C6A1D"/>
    <w:rsid w:val="005C765C"/>
    <w:rsid w:val="005C7DF6"/>
    <w:rsid w:val="005D02C9"/>
    <w:rsid w:val="005D0D83"/>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51E2"/>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5B8"/>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6ABA"/>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527E"/>
    <w:rsid w:val="007E531B"/>
    <w:rsid w:val="007E5B48"/>
    <w:rsid w:val="007E6FBE"/>
    <w:rsid w:val="007E7A25"/>
    <w:rsid w:val="007F0103"/>
    <w:rsid w:val="007F0C64"/>
    <w:rsid w:val="007F1507"/>
    <w:rsid w:val="007F3CE6"/>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198"/>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9F3"/>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0DA"/>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B08"/>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5AD3"/>
    <w:rsid w:val="008D78E4"/>
    <w:rsid w:val="008E1EEF"/>
    <w:rsid w:val="008E3BCF"/>
    <w:rsid w:val="008E4B2E"/>
    <w:rsid w:val="008E540F"/>
    <w:rsid w:val="008E5585"/>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9A8"/>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05B"/>
    <w:rsid w:val="00960D32"/>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5CCA"/>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585"/>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36F1"/>
    <w:rsid w:val="00A34E4A"/>
    <w:rsid w:val="00A36AA7"/>
    <w:rsid w:val="00A40404"/>
    <w:rsid w:val="00A42235"/>
    <w:rsid w:val="00A42858"/>
    <w:rsid w:val="00A428C9"/>
    <w:rsid w:val="00A43199"/>
    <w:rsid w:val="00A43AFC"/>
    <w:rsid w:val="00A445CD"/>
    <w:rsid w:val="00A45776"/>
    <w:rsid w:val="00A46507"/>
    <w:rsid w:val="00A46BEA"/>
    <w:rsid w:val="00A471F5"/>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2ACB"/>
    <w:rsid w:val="00A93112"/>
    <w:rsid w:val="00A932DE"/>
    <w:rsid w:val="00A960F0"/>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6CE7"/>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865"/>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0C6"/>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7B62"/>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0D7C"/>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4E53"/>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6E40"/>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020A"/>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6D1E"/>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0306"/>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6C8D"/>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2A99"/>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74EF"/>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66987"/>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94F"/>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4294FE"/>
    <w:rsid w:val="015A29D9"/>
    <w:rsid w:val="0174B8F2"/>
    <w:rsid w:val="01B6007C"/>
    <w:rsid w:val="01FCB513"/>
    <w:rsid w:val="020275F2"/>
    <w:rsid w:val="0211B47F"/>
    <w:rsid w:val="0225E32C"/>
    <w:rsid w:val="027C24DB"/>
    <w:rsid w:val="0308FA2A"/>
    <w:rsid w:val="0309FD5E"/>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830B56"/>
    <w:rsid w:val="18063CAC"/>
    <w:rsid w:val="189BC2ED"/>
    <w:rsid w:val="18A7C488"/>
    <w:rsid w:val="18C7DB62"/>
    <w:rsid w:val="193AB0B7"/>
    <w:rsid w:val="1979D7AC"/>
    <w:rsid w:val="1980B2BC"/>
    <w:rsid w:val="1A21D9BC"/>
    <w:rsid w:val="1A5CC8D6"/>
    <w:rsid w:val="1AADC2A5"/>
    <w:rsid w:val="1B03DE4D"/>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FA85B6"/>
    <w:rsid w:val="2B60652F"/>
    <w:rsid w:val="2BEFB30E"/>
    <w:rsid w:val="2BF3A920"/>
    <w:rsid w:val="2C1094A7"/>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AE2584"/>
    <w:rsid w:val="5A23435C"/>
    <w:rsid w:val="5A3805EB"/>
    <w:rsid w:val="5A87F1A4"/>
    <w:rsid w:val="5AA2EE5D"/>
    <w:rsid w:val="5B03CA82"/>
    <w:rsid w:val="5B182E71"/>
    <w:rsid w:val="5B77EDD5"/>
    <w:rsid w:val="5BC2CAFD"/>
    <w:rsid w:val="5BD1E633"/>
    <w:rsid w:val="5C15E85F"/>
    <w:rsid w:val="5C755BDD"/>
    <w:rsid w:val="5C790094"/>
    <w:rsid w:val="5C7A683D"/>
    <w:rsid w:val="5C7E15B0"/>
    <w:rsid w:val="5DB80FEE"/>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D7821D0-B42A-3A4C-BF29-FEE762BC9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 w:type="character" w:styleId="nfasis">
    <w:name w:val="Emphasis"/>
    <w:basedOn w:val="Fuentedeprrafopredeter"/>
    <w:uiPriority w:val="20"/>
    <w:qFormat/>
    <w:rsid w:val="00B77B62"/>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4136657">
      <w:bodyDiv w:val="1"/>
      <w:marLeft w:val="0"/>
      <w:marRight w:val="0"/>
      <w:marTop w:val="0"/>
      <w:marBottom w:val="0"/>
      <w:divBdr>
        <w:top w:val="none" w:sz="0" w:space="0" w:color="auto"/>
        <w:left w:val="none" w:sz="0" w:space="0" w:color="auto"/>
        <w:bottom w:val="none" w:sz="0" w:space="0" w:color="auto"/>
        <w:right w:val="none" w:sz="0" w:space="0" w:color="auto"/>
      </w:divBdr>
    </w:div>
    <w:div w:id="82187537">
      <w:bodyDiv w:val="1"/>
      <w:marLeft w:val="0"/>
      <w:marRight w:val="0"/>
      <w:marTop w:val="0"/>
      <w:marBottom w:val="0"/>
      <w:divBdr>
        <w:top w:val="none" w:sz="0" w:space="0" w:color="auto"/>
        <w:left w:val="none" w:sz="0" w:space="0" w:color="auto"/>
        <w:bottom w:val="none" w:sz="0" w:space="0" w:color="auto"/>
        <w:right w:val="none" w:sz="0" w:space="0" w:color="auto"/>
      </w:divBdr>
    </w:div>
    <w:div w:id="147595688">
      <w:bodyDiv w:val="1"/>
      <w:marLeft w:val="0"/>
      <w:marRight w:val="0"/>
      <w:marTop w:val="0"/>
      <w:marBottom w:val="0"/>
      <w:divBdr>
        <w:top w:val="none" w:sz="0" w:space="0" w:color="auto"/>
        <w:left w:val="none" w:sz="0" w:space="0" w:color="auto"/>
        <w:bottom w:val="none" w:sz="0" w:space="0" w:color="auto"/>
        <w:right w:val="none" w:sz="0" w:space="0" w:color="auto"/>
      </w:divBdr>
    </w:div>
    <w:div w:id="405492783">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7878273">
      <w:bodyDiv w:val="1"/>
      <w:marLeft w:val="0"/>
      <w:marRight w:val="0"/>
      <w:marTop w:val="0"/>
      <w:marBottom w:val="0"/>
      <w:divBdr>
        <w:top w:val="none" w:sz="0" w:space="0" w:color="auto"/>
        <w:left w:val="none" w:sz="0" w:space="0" w:color="auto"/>
        <w:bottom w:val="none" w:sz="0" w:space="0" w:color="auto"/>
        <w:right w:val="none" w:sz="0" w:space="0" w:color="auto"/>
      </w:divBdr>
    </w:div>
    <w:div w:id="1022391611">
      <w:bodyDiv w:val="1"/>
      <w:marLeft w:val="0"/>
      <w:marRight w:val="0"/>
      <w:marTop w:val="0"/>
      <w:marBottom w:val="0"/>
      <w:divBdr>
        <w:top w:val="none" w:sz="0" w:space="0" w:color="auto"/>
        <w:left w:val="none" w:sz="0" w:space="0" w:color="auto"/>
        <w:bottom w:val="none" w:sz="0" w:space="0" w:color="auto"/>
        <w:right w:val="none" w:sz="0" w:space="0" w:color="auto"/>
      </w:divBdr>
    </w:div>
    <w:div w:id="1187134428">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5791533">
      <w:bodyDiv w:val="1"/>
      <w:marLeft w:val="0"/>
      <w:marRight w:val="0"/>
      <w:marTop w:val="0"/>
      <w:marBottom w:val="0"/>
      <w:divBdr>
        <w:top w:val="none" w:sz="0" w:space="0" w:color="auto"/>
        <w:left w:val="none" w:sz="0" w:space="0" w:color="auto"/>
        <w:bottom w:val="none" w:sz="0" w:space="0" w:color="auto"/>
        <w:right w:val="none" w:sz="0" w:space="0" w:color="auto"/>
      </w:divBdr>
    </w:div>
    <w:div w:id="1766920412">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31214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1174606/https://www.argentina.gob.ar/normativa/nacional/resoluci&#243;n-146-2023-382506/texto"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01180325/https://beccarvarela.com/novedades/la-subsecretaria-de-ambiente-de-la-nacion-emitio-el-informe-anual-de-gestion-del-ano-2024-a-partir-del-cual-se-repasan-los-avances-referidos-a-la-actividad-del-gabinete-nacional-de-cambio-climatico-g/"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58825D3-970A-48FE-848A-78797AB3CB8D}"/>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 ds:uri="b52eb706-a9b7-4441-b432-24bdc119c495"/>
    <ds:schemaRef ds:uri="860fd844-3fbd-4b23-8e78-b7b4d9b2c3b1"/>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20</TotalTime>
  <Pages>112</Pages>
  <Words>23269</Words>
  <Characters>127981</Characters>
  <Application>Microsoft Office Word</Application>
  <DocSecurity>0</DocSecurity>
  <Lines>1066</Lines>
  <Paragraphs>301</Paragraphs>
  <ScaleCrop>false</ScaleCrop>
  <Company/>
  <LinksUpToDate>false</LinksUpToDate>
  <CharactersWithSpaces>150949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Florencia Marcelli</cp:lastModifiedBy>
  <cp:revision>36</cp:revision>
  <cp:lastPrinted>2025-03-21T00:14:00Z</cp:lastPrinted>
  <dcterms:created xsi:type="dcterms:W3CDTF">2025-05-19T11:32:00Z</dcterms:created>
  <dcterms:modified xsi:type="dcterms:W3CDTF">2025-07-01T18:23:00Z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